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20955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SOLUTION REVIEW</w:t>
      </w:r>
    </w:p>
    <w:p>
      <w:pPr>
        <w:spacing w:after="160"/>
      </w:pPr>
      <w:r>
        <w:t xml:space="preserve">Managed Security RFP — RFP Response Deck</w:t>
      </w:r>
    </w:p>
    <w:p>
      <w:pPr>
        <w:spacing w:after="160"/>
      </w:pPr>
      <w:r>
        <w:t xml:space="preserve">Prepared for Kementerian Pengajian Tinggi | Aris Iskandar</w:t>
      </w:r>
    </w:p>
    <w:p>
      <w:pPr>
        <w:spacing w:after="160"/>
      </w:pPr>
      <w:r>
        <w:t xml:space="preserve">Credence Proposal Deck | Date to be confirmed</w:t>
      </w:r>
    </w:p>
    <w:p>
      <w:r>
        <w:drawing>
          <wp:inline distT="0" distB="0" distL="0" distR="0">
            <wp:extent cx="2476500" cy="279082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t xml:space="preserve">SUPPLIED INPUT — REVIEW BEFORE USE.</w:t>
      </w:r>
    </w:p>
    <w:p>
      <w:pPr>
        <w:pStyle w:val="Heading1"/>
        <w:keepNext/>
        <w:spacing w:after="160" w:before="280"/>
      </w:pPr>
      <w:r>
        <w:t xml:space="preserve">RFP Response Deck – Managed Security Services</w:t>
      </w:r>
    </w:p>
    <w:p>
      <w:pPr>
        <w:spacing w:after="160"/>
      </w:pPr>
      <w:r>
        <w:t xml:space="preserve">Managed Security RFP – Kementerian Pengajian Tinggi (CYDEC – TM ONE Cybersecurity Sponsor)</w:t>
      </w:r>
    </w:p>
    <w:p>
      <w:pPr>
        <w:pStyle w:val="Heading1"/>
        <w:keepNext/>
        <w:spacing w:after="160" w:before="280"/>
      </w:pPr>
      <w:r>
        <w:t xml:space="preserve">Executive Summary</w:t>
      </w:r>
    </w:p>
    <w:p>
      <w:pPr>
        <w:spacing w:after="160"/>
      </w:pPr>
      <w:r>
        <w:t xml:space="preserve">Credence proposes a comprehensive managed security solution tailored to banking‑level requirements, delivering 24/7 protection, rapid incident response, and alignment with the RM 1.5 million contract value. Our partnership model leverages our extensive security expertise and local presence to provide a reliable, cost‑effective service portfolio.</w:t>
      </w:r>
    </w:p>
    <w:p>
      <w:pPr>
        <w:pStyle w:val="Heading1"/>
        <w:keepNext/>
        <w:spacing w:after="160" w:before="280"/>
      </w:pPr>
      <w:r>
        <w:t xml:space="preserve">About Credence</w:t>
      </w:r>
    </w:p>
    <w:p>
      <w:pPr>
        <w:pStyle w:val="ListParagraph"/>
        <w:numPr>
          <w:ilvl w:val="0"/>
          <w:numId w:val="1"/>
        </w:numPr>
      </w:pPr>
      <w:r>
        <w:t xml:space="preserve">Multidisciplinary cloud‑and‑digital‑services provider based in Malaysia.</w:t>
      </w:r>
    </w:p>
    <w:p>
      <w:pPr>
        <w:pStyle w:val="ListParagraph"/>
        <w:numPr>
          <w:ilvl w:val="0"/>
          <w:numId w:val="1"/>
        </w:numPr>
      </w:pPr>
      <w:r>
        <w:t xml:space="preserve">Over 15 years delivering enterprise‑grade security solutions across public and private sectors.</w:t>
      </w:r>
    </w:p>
    <w:p>
      <w:pPr>
        <w:pStyle w:val="ListParagraph"/>
        <w:numPr>
          <w:ilvl w:val="0"/>
          <w:numId w:val="1"/>
        </w:numPr>
      </w:pPr>
      <w:r>
        <w:t xml:space="preserve">Certified Microsoft Cloud Partner and ISO/IEC 27001:2013 compliant.</w:t>
      </w:r>
    </w:p>
    <w:p>
      <w:pPr>
        <w:pStyle w:val="ListParagraph"/>
        <w:numPr>
          <w:ilvl w:val="0"/>
          <w:numId w:val="1"/>
        </w:numPr>
      </w:pPr>
      <w:r>
        <w:t xml:space="preserve">Proven track record of securing financial institutions, educational entities and government agencies.</w:t>
      </w:r>
    </w:p>
    <w:p>
      <w:pPr>
        <w:pStyle w:val="Heading1"/>
        <w:keepNext/>
        <w:spacing w:after="160" w:before="280"/>
      </w:pPr>
      <w:r>
        <w:t xml:space="preserve">Customer Requirements – Managed Security for a Banking Institution</w:t>
      </w:r>
    </w:p>
    <w:p>
      <w:pPr>
        <w:pStyle w:val="ListParagraph"/>
        <w:numPr>
          <w:ilvl w:val="0"/>
          <w:numId w:val="1"/>
        </w:numPr>
      </w:pPr>
      <w:r>
        <w:t xml:space="preserve">Continuous monitoring of network, endpoint and cloud assets.</w:t>
      </w:r>
    </w:p>
    <w:p>
      <w:pPr>
        <w:pStyle w:val="ListParagraph"/>
        <w:numPr>
          <w:ilvl w:val="0"/>
          <w:numId w:val="1"/>
        </w:numPr>
      </w:pPr>
      <w:r>
        <w:t xml:space="preserve">Advanced threat detection &amp; prevention, including zero‑day protection.</w:t>
      </w:r>
    </w:p>
    <w:p>
      <w:pPr>
        <w:pStyle w:val="ListParagraph"/>
        <w:numPr>
          <w:ilvl w:val="0"/>
          <w:numId w:val="1"/>
        </w:numPr>
      </w:pPr>
      <w:r>
        <w:t xml:space="preserve">Incident response and forensic capabilities with service‑level guarantees.</w:t>
      </w:r>
    </w:p>
    <w:p>
      <w:pPr>
        <w:pStyle w:val="ListParagraph"/>
        <w:numPr>
          <w:ilvl w:val="0"/>
          <w:numId w:val="1"/>
        </w:numPr>
      </w:pPr>
      <w:r>
        <w:t xml:space="preserve">Regulatory compliance with Malaysian banking guidelines and other statutory obligations.</w:t>
      </w:r>
    </w:p>
    <w:p>
      <w:pPr>
        <w:pStyle w:val="ListParagraph"/>
        <w:numPr>
          <w:ilvl w:val="0"/>
          <w:numId w:val="1"/>
        </w:numPr>
      </w:pPr>
      <w:r>
        <w:t xml:space="preserve">Seamless integration with existing IT infra and future‑proof scalability.</w:t>
      </w:r>
    </w:p>
    <w:p>
      <w:pPr>
        <w:pStyle w:val="Heading1"/>
        <w:keepNext/>
        <w:spacing w:after="160" w:before="280"/>
      </w:pPr>
      <w:r>
        <w:t xml:space="preserve">Credence Managed Security Offering</w:t>
      </w:r>
    </w:p>
    <w:p>
      <w:pPr>
        <w:spacing w:after="160"/>
      </w:pPr>
      <w:r>
        <w:t xml:space="preserve">1. Security Operations Centre (SOC) – 24/7 threat monitoring, triage and escalation.</w:t>
      </w:r>
    </w:p>
    <w:p>
      <w:pPr>
        <w:spacing w:after="160"/>
      </w:pPr>
      <w:r>
        <w:t xml:space="preserve">2. Endpoint &amp; Network Protection – next‑generation firewalls, web gateways and anti‑malware.</w:t>
      </w:r>
    </w:p>
    <w:p>
      <w:pPr>
        <w:spacing w:after="160"/>
      </w:pPr>
      <w:r>
        <w:t xml:space="preserve">3. Incident Response &amp; Forensics – rapid containment, root‑cause analysis and evidence preservation.</w:t>
      </w:r>
    </w:p>
    <w:p>
      <w:pPr>
        <w:spacing w:after="160"/>
      </w:pPr>
      <w:r>
        <w:t xml:space="preserve">4. Compliance &amp; Reporting – automated dashboards aligned to banking regulatory frameworks.</w:t>
      </w:r>
    </w:p>
    <w:p>
      <w:pPr>
        <w:pStyle w:val="Heading1"/>
        <w:keepNext/>
        <w:spacing w:after="160" w:before="280"/>
      </w:pPr>
      <w:r>
        <w:t xml:space="preserve">Key Differentiators</w:t>
      </w:r>
    </w:p>
    <w:p>
      <w:pPr>
        <w:pStyle w:val="ListParagraph"/>
        <w:numPr>
          <w:ilvl w:val="0"/>
          <w:numId w:val="1"/>
        </w:numPr>
      </w:pPr>
      <w:r>
        <w:t xml:space="preserve">Local Presence, Global Expertise – Dedicated teams in Malaysia, trained on industry best practices.</w:t>
      </w:r>
    </w:p>
    <w:p>
      <w:pPr>
        <w:pStyle w:val="ListParagraph"/>
        <w:numPr>
          <w:ilvl w:val="0"/>
          <w:numId w:val="1"/>
        </w:numPr>
      </w:pPr>
      <w:r>
        <w:t xml:space="preserve">Strategic Partnership with TM ONE – Seamless integration of CYDEC tools and shared operational governance.</w:t>
      </w:r>
    </w:p>
    <w:p>
      <w:pPr>
        <w:pStyle w:val="ListParagraph"/>
        <w:numPr>
          <w:ilvl w:val="0"/>
          <w:numId w:val="1"/>
        </w:numPr>
      </w:pPr>
      <w:r>
        <w:t xml:space="preserve">Scalable Architecture – Designed to grow with the institution’s digital footprint.</w:t>
      </w:r>
    </w:p>
    <w:p>
      <w:pPr>
        <w:pStyle w:val="ListParagraph"/>
        <w:numPr>
          <w:ilvl w:val="0"/>
          <w:numId w:val="1"/>
        </w:numPr>
      </w:pPr>
      <w:r>
        <w:t xml:space="preserve">Proven Service Reliability – Historical uptime &gt; 99 % for comparable banking clients.</w:t>
      </w:r>
    </w:p>
    <w:p>
      <w:pPr>
        <w:pStyle w:val="Heading1"/>
        <w:keepNext/>
        <w:spacing w:after="160" w:before="280"/>
      </w:pPr>
      <w:r>
        <w:t xml:space="preserve">Governance &amp; Approval Path</w:t>
      </w:r>
    </w:p>
    <w:p>
      <w:pPr>
        <w:pStyle w:val="ListParagraph"/>
        <w:numPr>
          <w:ilvl w:val="0"/>
          <w:numId w:val="1"/>
        </w:numPr>
      </w:pPr>
      <w:r>
        <w:t xml:space="preserve">Complex Tier – Track I: Full SRC panel engagement.</w:t>
      </w:r>
    </w:p>
    <w:p>
      <w:pPr>
        <w:pStyle w:val="ListParagraph"/>
        <w:numPr>
          <w:ilvl w:val="0"/>
          <w:numId w:val="1"/>
        </w:numPr>
      </w:pPr>
      <w:r>
        <w:t xml:space="preserve">SRC Session followed by SRC Committee (GM+) review.</w:t>
      </w:r>
    </w:p>
    <w:p>
      <w:pPr>
        <w:pStyle w:val="ListParagraph"/>
        <w:numPr>
          <w:ilvl w:val="0"/>
          <w:numId w:val="1"/>
        </w:numPr>
      </w:pPr>
      <w:r>
        <w:t xml:space="preserve">Minimum 3 voting members required to approve contracts above RM 1 million or multi‑tower engagements.</w:t>
      </w:r>
    </w:p>
    <w:p>
      <w:pPr>
        <w:pStyle w:val="Heading1"/>
        <w:keepNext/>
        <w:spacing w:after="160" w:before="280"/>
      </w:pPr>
      <w:r>
        <w:t xml:space="preserve">Value Proposition</w:t>
      </w:r>
    </w:p>
    <w:p>
      <w:pPr>
        <w:pStyle w:val="ListParagraph"/>
        <w:numPr>
          <w:ilvl w:val="0"/>
          <w:numId w:val="1"/>
        </w:numPr>
      </w:pPr>
      <w:r>
        <w:t xml:space="preserve">Risk Reduction – Minimise exposure to cyber incidents through proactive monitoring and rapid response.</w:t>
      </w:r>
    </w:p>
    <w:p>
      <w:pPr>
        <w:pStyle w:val="ListParagraph"/>
        <w:numPr>
          <w:ilvl w:val="0"/>
          <w:numId w:val="1"/>
        </w:numPr>
      </w:pPr>
      <w:r>
        <w:t xml:space="preserve">Cost Efficiency – Outsourced security stack reduces capital and operational expenses versus in‑house teams.</w:t>
      </w:r>
    </w:p>
    <w:p>
      <w:pPr>
        <w:pStyle w:val="ListParagraph"/>
        <w:numPr>
          <w:ilvl w:val="0"/>
          <w:numId w:val="1"/>
        </w:numPr>
      </w:pPr>
      <w:r>
        <w:t xml:space="preserve">Business Continuity – Dedicated incident response ensures minimal disruption to critical banking services.</w:t>
      </w:r>
    </w:p>
    <w:p>
      <w:pPr>
        <w:pStyle w:val="ListParagraph"/>
        <w:numPr>
          <w:ilvl w:val="0"/>
          <w:numId w:val="1"/>
        </w:numPr>
      </w:pPr>
      <w:r>
        <w:t xml:space="preserve">Compliance Assurance – Ongoing alignment with Malaysian banking regulations mitigates regulatory penalties.</w:t>
      </w:r>
    </w:p>
    <w:p>
      <w:pPr>
        <w:pStyle w:val="Heading1"/>
        <w:keepNext/>
        <w:spacing w:after="160" w:before="280"/>
      </w:pPr>
      <w:r>
        <w:t xml:space="preserve">Next Steps</w:t>
      </w:r>
    </w:p>
    <w:p>
      <w:pPr>
        <w:spacing w:after="160"/>
      </w:pPr>
      <w:r>
        <w:t xml:space="preserve">1. Formal proposal submission by Credence to Cyprus RFP portal.</w:t>
      </w:r>
    </w:p>
    <w:p>
      <w:pPr>
        <w:spacing w:after="160"/>
      </w:pPr>
      <w:r>
        <w:t xml:space="preserve">2. Scheduled SRC panel presentation – coordinated with TM ONE CYDEC sponsors.</w:t>
      </w:r>
    </w:p>
    <w:p>
      <w:pPr>
        <w:spacing w:after="160"/>
      </w:pPr>
      <w:r>
        <w:t xml:space="preserve">3. Detailed technical workshop with Credence security architects and Kementerian Pengajian Tinggi IT leadership.</w:t>
      </w:r>
    </w:p>
    <w:p>
      <w:pPr>
        <w:spacing w:after="160"/>
      </w:pPr>
      <w:r>
        <w:t xml:space="preserve">Contact:</w:t>
      </w:r>
    </w:p>
    <w:p>
      <w:pPr>
        <w:pStyle w:val="ListParagraph"/>
        <w:numPr>
          <w:ilvl w:val="0"/>
          <w:numId w:val="1"/>
        </w:numPr>
      </w:pPr>
      <w:r>
        <w:t xml:space="preserve">Azliza Juliana – Sales Lead;</w:t>
      </w:r>
    </w:p>
    <w:p>
      <w:pPr>
        <w:pStyle w:val="ListParagraph"/>
        <w:numPr>
          <w:ilvl w:val="0"/>
          <w:numId w:val="1"/>
        </w:numPr>
      </w:pPr>
      <w:r>
        <w:t xml:space="preserve">Aris Iskandar – Product Owner / Presales Lead.</w:t>
      </w:r>
    </w:p>
    <w:p>
      <w:pPr>
        <w:spacing w:after="160"/>
      </w:pPr>
      <w:r>
        <w:t xml:space="preserve">Contact details: [insert email/phone].</w:t>
      </w:r>
    </w:p>
    <w:p>
      <w:pPr>
        <w:pStyle w:val="Heading1"/>
        <w:keepNext/>
        <w:spacing w:after="160" w:before="280"/>
      </w:pPr>
      <w:r>
        <w:t xml:space="preserve">Thank You</w:t>
      </w:r>
    </w:p>
    <w:p>
      <w:pPr>
        <w:spacing w:after="160"/>
      </w:pPr>
      <w:r>
        <w:t xml:space="preserve">www.credence.tech</w:t>
      </w:r>
    </w:p>
    <w:sectPr>
      <w:headerReference w:type="default" r:id="rId6"/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Supplied input | Page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60"/>
    </w:pPr>
    <w:r>
      <w:t xml:space="preserve">Credence | Solution Review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76f0459e19e2fdd56164fcf5541b75ee40ac19ea.png"/><Relationship Id="rId10" Type="http://schemas.openxmlformats.org/officeDocument/2006/relationships/image" Target="media/b8ac5cbf0c15b4ff27df36232db35d3f4b20e8a4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Managed Security RFP — RFP Response Deck</dc:title>
  <dc:creator>Aris Iskandar</dc:creator>
  <cp:lastModifiedBy>Un-named</cp:lastModifiedBy>
  <cp:revision>1</cp:revision>
  <dcterms:created xsi:type="dcterms:W3CDTF">2026-10-12T16:18:33.810Z</dcterms:created>
  <dcterms:modified xsi:type="dcterms:W3CDTF">2026-10-12T16:18:33.810Z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